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sz w:val="20"/>
          <w:szCs w:val="20"/>
        </w:rPr>
      </w:pPr>
      <w:r w:rsidDel="00000000" w:rsidR="00000000" w:rsidRPr="00000000">
        <w:rPr>
          <w:rtl w:val="0"/>
        </w:rPr>
      </w:r>
    </w:p>
    <w:p w:rsidR="00000000" w:rsidDel="00000000" w:rsidP="00000000" w:rsidRDefault="00000000" w:rsidRPr="00000000" w14:paraId="00000002">
      <w:pPr>
        <w:pageBreakBefore w:val="0"/>
        <w:rPr>
          <w:sz w:val="20"/>
          <w:szCs w:val="20"/>
        </w:rPr>
      </w:pPr>
      <w:r w:rsidDel="00000000" w:rsidR="00000000" w:rsidRPr="00000000">
        <w:rPr>
          <w:rtl w:val="0"/>
        </w:rPr>
      </w:r>
    </w:p>
    <w:tbl>
      <w:tblPr>
        <w:tblStyle w:val="Table1"/>
        <w:tblW w:w="11385.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935"/>
        <w:gridCol w:w="2025"/>
        <w:gridCol w:w="5745"/>
        <w:tblGridChange w:id="0">
          <w:tblGrid>
            <w:gridCol w:w="1680"/>
            <w:gridCol w:w="1935"/>
            <w:gridCol w:w="2025"/>
            <w:gridCol w:w="5745"/>
          </w:tblGrid>
        </w:tblGridChange>
      </w:tblGrid>
      <w:tr>
        <w:trPr>
          <w:cantSplit w:val="0"/>
          <w:trHeight w:val="645"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03">
            <w:pPr>
              <w:pageBreakBefore w:val="0"/>
              <w:widowControl w:val="0"/>
              <w:spacing w:line="240" w:lineRule="auto"/>
              <w:jc w:val="center"/>
              <w:rPr>
                <w:b w:val="1"/>
                <w:sz w:val="20"/>
                <w:szCs w:val="20"/>
                <w:u w:val="single"/>
              </w:rPr>
            </w:pPr>
            <w:r w:rsidDel="00000000" w:rsidR="00000000" w:rsidRPr="00000000">
              <w:rPr>
                <w:b w:val="1"/>
                <w:sz w:val="20"/>
                <w:szCs w:val="20"/>
                <w:u w:val="single"/>
                <w:rtl w:val="0"/>
              </w:rPr>
              <w:t xml:space="preserve">Campus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04">
            <w:pPr>
              <w:pageBreakBefore w:val="0"/>
              <w:widowControl w:val="0"/>
              <w:spacing w:line="240" w:lineRule="auto"/>
              <w:jc w:val="center"/>
              <w:rPr>
                <w:b w:val="1"/>
                <w:sz w:val="20"/>
                <w:szCs w:val="20"/>
                <w:u w:val="single"/>
              </w:rPr>
            </w:pPr>
            <w:r w:rsidDel="00000000" w:rsidR="00000000" w:rsidRPr="00000000">
              <w:rPr>
                <w:b w:val="1"/>
                <w:sz w:val="20"/>
                <w:szCs w:val="20"/>
                <w:u w:val="single"/>
                <w:rtl w:val="0"/>
              </w:rPr>
              <w:t xml:space="preserve">Fall 2023</w:t>
            </w:r>
          </w:p>
          <w:p w:rsidR="00000000" w:rsidDel="00000000" w:rsidP="00000000" w:rsidRDefault="00000000" w:rsidRPr="00000000" w14:paraId="00000005">
            <w:pPr>
              <w:pageBreakBefore w:val="0"/>
              <w:widowControl w:val="0"/>
              <w:spacing w:line="240" w:lineRule="auto"/>
              <w:jc w:val="center"/>
              <w:rPr>
                <w:b w:val="1"/>
                <w:sz w:val="20"/>
                <w:szCs w:val="20"/>
                <w:u w:val="single"/>
              </w:rPr>
            </w:pPr>
            <w:r w:rsidDel="00000000" w:rsidR="00000000" w:rsidRPr="00000000">
              <w:rPr>
                <w:b w:val="1"/>
                <w:sz w:val="20"/>
                <w:szCs w:val="20"/>
                <w:u w:val="single"/>
                <w:rtl w:val="0"/>
              </w:rPr>
              <w:t xml:space="preserve">Admit Rate</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06">
            <w:pPr>
              <w:pageBreakBefore w:val="0"/>
              <w:widowControl w:val="0"/>
              <w:spacing w:line="240" w:lineRule="auto"/>
              <w:jc w:val="center"/>
              <w:rPr>
                <w:b w:val="1"/>
                <w:sz w:val="20"/>
                <w:szCs w:val="20"/>
                <w:u w:val="single"/>
              </w:rPr>
            </w:pPr>
            <w:r w:rsidDel="00000000" w:rsidR="00000000" w:rsidRPr="00000000">
              <w:rPr>
                <w:b w:val="1"/>
                <w:sz w:val="20"/>
                <w:szCs w:val="20"/>
                <w:u w:val="single"/>
                <w:rtl w:val="0"/>
              </w:rPr>
              <w:t xml:space="preserve">GPA of middle 25%-75% students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07">
            <w:pPr>
              <w:pageBreakBefore w:val="0"/>
              <w:widowControl w:val="0"/>
              <w:spacing w:line="240" w:lineRule="auto"/>
              <w:jc w:val="center"/>
              <w:rPr>
                <w:b w:val="1"/>
                <w:sz w:val="20"/>
                <w:szCs w:val="20"/>
                <w:u w:val="single"/>
              </w:rPr>
            </w:pPr>
            <w:r w:rsidDel="00000000" w:rsidR="00000000" w:rsidRPr="00000000">
              <w:rPr>
                <w:b w:val="1"/>
                <w:sz w:val="20"/>
                <w:szCs w:val="20"/>
                <w:u w:val="single"/>
                <w:rtl w:val="0"/>
              </w:rPr>
              <w:t xml:space="preserve">Impacted Majors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sz w:val="20"/>
                <w:szCs w:val="20"/>
              </w:rPr>
            </w:pPr>
            <w:r w:rsidDel="00000000" w:rsidR="00000000" w:rsidRPr="00000000">
              <w:rPr>
                <w:sz w:val="20"/>
                <w:szCs w:val="20"/>
                <w:rtl w:val="0"/>
              </w:rPr>
              <w:t xml:space="preserve">Berkeley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jc w:val="center"/>
              <w:rPr>
                <w:sz w:val="20"/>
                <w:szCs w:val="20"/>
              </w:rPr>
            </w:pPr>
            <w:r w:rsidDel="00000000" w:rsidR="00000000" w:rsidRPr="00000000">
              <w:rPr>
                <w:sz w:val="20"/>
                <w:szCs w:val="20"/>
                <w:rtl w:val="0"/>
              </w:rPr>
              <w:t xml:space="preserve">11.6%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jc w:val="center"/>
              <w:rPr>
                <w:sz w:val="20"/>
                <w:szCs w:val="20"/>
              </w:rPr>
            </w:pPr>
            <w:r w:rsidDel="00000000" w:rsidR="00000000" w:rsidRPr="00000000">
              <w:rPr>
                <w:sz w:val="20"/>
                <w:szCs w:val="20"/>
                <w:rtl w:val="0"/>
              </w:rPr>
              <w:t xml:space="preserve">4.15-4.29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jc w:val="center"/>
              <w:rPr>
                <w:sz w:val="20"/>
                <w:szCs w:val="20"/>
              </w:rPr>
            </w:pPr>
            <w:r w:rsidDel="00000000" w:rsidR="00000000" w:rsidRPr="00000000">
              <w:rPr>
                <w:sz w:val="20"/>
                <w:szCs w:val="20"/>
                <w:rtl w:val="0"/>
              </w:rPr>
              <w:t xml:space="preserve">Art Practice, Computer Science, Economics, Global Studies, Media Studies, Operations Research &amp; Management Science, Political Economy, Psychology, Public Health, Social Welfare, Statistics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jc w:val="center"/>
              <w:rPr>
                <w:sz w:val="20"/>
                <w:szCs w:val="20"/>
              </w:rPr>
            </w:pPr>
            <w:r w:rsidDel="00000000" w:rsidR="00000000" w:rsidRPr="00000000">
              <w:rPr>
                <w:sz w:val="20"/>
                <w:szCs w:val="20"/>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jc w:val="center"/>
              <w:rPr>
                <w:sz w:val="20"/>
                <w:szCs w:val="20"/>
              </w:rPr>
            </w:pPr>
            <w:r w:rsidDel="00000000" w:rsidR="00000000" w:rsidRPr="00000000">
              <w:rPr>
                <w:sz w:val="20"/>
                <w:szCs w:val="20"/>
                <w:rtl w:val="0"/>
              </w:rPr>
              <w:t xml:space="preserve">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jc w:val="center"/>
              <w:rPr>
                <w:sz w:val="20"/>
                <w:szCs w:val="20"/>
              </w:rPr>
            </w:pPr>
            <w:r w:rsidDel="00000000" w:rsidR="00000000" w:rsidRPr="00000000">
              <w:rPr>
                <w:sz w:val="20"/>
                <w:szCs w:val="20"/>
                <w:rtl w:val="0"/>
              </w:rPr>
              <w:t xml:space="preserve">4.03-4.27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jc w:val="center"/>
              <w:rPr>
                <w:sz w:val="20"/>
                <w:szCs w:val="20"/>
              </w:rPr>
            </w:pPr>
            <w:r w:rsidDel="00000000" w:rsidR="00000000" w:rsidRPr="00000000">
              <w:rPr>
                <w:sz w:val="20"/>
                <w:szCs w:val="20"/>
                <w:rtl w:val="0"/>
              </w:rPr>
              <w:t xml:space="preserve">Biotechnology, Managerial Economics, Viticulture &amp; Enology, Biological Sciences, Engineering, Applied Mathematics, Applied Physics, Computer Science, Data Science, Economics, Mathematics, Mathematical Analytics &amp; Operations Research, Mathematical &amp; Scientific Computation, Physics, Psychology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jc w:val="center"/>
              <w:rPr>
                <w:sz w:val="20"/>
                <w:szCs w:val="20"/>
              </w:rPr>
            </w:pPr>
            <w:r w:rsidDel="00000000" w:rsidR="00000000" w:rsidRPr="00000000">
              <w:rPr>
                <w:sz w:val="20"/>
                <w:szCs w:val="20"/>
                <w:rtl w:val="0"/>
              </w:rPr>
              <w:t xml:space="preserve">Irvine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jc w:val="center"/>
              <w:rPr>
                <w:sz w:val="20"/>
                <w:szCs w:val="20"/>
              </w:rPr>
            </w:pPr>
            <w:r w:rsidDel="00000000" w:rsidR="00000000" w:rsidRPr="00000000">
              <w:rPr>
                <w:sz w:val="20"/>
                <w:szCs w:val="20"/>
                <w:rtl w:val="0"/>
              </w:rPr>
              <w:t xml:space="preserve">25.7%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jc w:val="center"/>
              <w:rPr>
                <w:sz w:val="20"/>
                <w:szCs w:val="20"/>
              </w:rPr>
            </w:pPr>
            <w:r w:rsidDel="00000000" w:rsidR="00000000" w:rsidRPr="00000000">
              <w:rPr>
                <w:sz w:val="20"/>
                <w:szCs w:val="20"/>
                <w:rtl w:val="0"/>
              </w:rPr>
              <w:t xml:space="preserve">4.07-4.28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jc w:val="center"/>
              <w:rPr>
                <w:sz w:val="20"/>
                <w:szCs w:val="20"/>
              </w:rPr>
            </w:pPr>
            <w:r w:rsidDel="00000000" w:rsidR="00000000" w:rsidRPr="00000000">
              <w:rPr>
                <w:sz w:val="20"/>
                <w:szCs w:val="20"/>
                <w:rtl w:val="0"/>
              </w:rPr>
              <w:t xml:space="preserve">Business Administration, Nursing, Dance, Music, Engineering, Computer Science, Data Statistics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jc w:val="center"/>
              <w:rPr>
                <w:sz w:val="20"/>
                <w:szCs w:val="20"/>
              </w:rPr>
            </w:pPr>
            <w:r w:rsidDel="00000000" w:rsidR="00000000" w:rsidRPr="00000000">
              <w:rPr>
                <w:sz w:val="20"/>
                <w:szCs w:val="20"/>
                <w:rtl w:val="0"/>
              </w:rPr>
              <w:t xml:space="preserve">Los Angeles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jc w:val="center"/>
              <w:rPr>
                <w:sz w:val="20"/>
                <w:szCs w:val="20"/>
              </w:rPr>
            </w:pPr>
            <w:r w:rsidDel="00000000" w:rsidR="00000000" w:rsidRPr="00000000">
              <w:rPr>
                <w:sz w:val="20"/>
                <w:szCs w:val="20"/>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jc w:val="center"/>
              <w:rPr>
                <w:sz w:val="20"/>
                <w:szCs w:val="20"/>
              </w:rPr>
            </w:pPr>
            <w:r w:rsidDel="00000000" w:rsidR="00000000" w:rsidRPr="00000000">
              <w:rPr>
                <w:sz w:val="20"/>
                <w:szCs w:val="20"/>
                <w:rtl w:val="0"/>
              </w:rPr>
              <w:t xml:space="preserve">4.20-4.31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pBdr>
                <w:top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sz w:val="20"/>
                <w:szCs w:val="20"/>
                <w:rtl w:val="0"/>
              </w:rPr>
              <w:t xml:space="preserve">Political Science, Psychology, Sociology, Economics, Biology</w:t>
            </w:r>
          </w:p>
          <w:p w:rsidR="00000000" w:rsidDel="00000000" w:rsidP="00000000" w:rsidRDefault="00000000" w:rsidRPr="00000000" w14:paraId="00000018">
            <w:pPr>
              <w:pageBreakBefore w:val="0"/>
              <w:widowControl w:val="0"/>
              <w:spacing w:line="240" w:lineRule="auto"/>
              <w:jc w:val="center"/>
              <w:rPr>
                <w:sz w:val="20"/>
                <w:szCs w:val="2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sz w:val="20"/>
                <w:szCs w:val="20"/>
              </w:rPr>
            </w:pPr>
            <w:r w:rsidDel="00000000" w:rsidR="00000000" w:rsidRPr="00000000">
              <w:rPr>
                <w:sz w:val="20"/>
                <w:szCs w:val="20"/>
                <w:rtl w:val="0"/>
              </w:rPr>
              <w:t xml:space="preserve">Merced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sz w:val="20"/>
                <w:szCs w:val="20"/>
              </w:rPr>
            </w:pPr>
            <w:r w:rsidDel="00000000" w:rsidR="00000000" w:rsidRPr="00000000">
              <w:rPr>
                <w:sz w:val="20"/>
                <w:szCs w:val="20"/>
                <w:rtl w:val="0"/>
              </w:rPr>
              <w:t xml:space="preserve">88.3%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jc w:val="center"/>
              <w:rPr>
                <w:sz w:val="20"/>
                <w:szCs w:val="20"/>
              </w:rPr>
            </w:pPr>
            <w:r w:rsidDel="00000000" w:rsidR="00000000" w:rsidRPr="00000000">
              <w:rPr>
                <w:sz w:val="20"/>
                <w:szCs w:val="20"/>
                <w:rtl w:val="0"/>
              </w:rPr>
              <w:t xml:space="preserve">3.48-4.08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sz w:val="20"/>
                <w:szCs w:val="20"/>
              </w:rPr>
            </w:pPr>
            <w:r w:rsidDel="00000000" w:rsidR="00000000" w:rsidRPr="00000000">
              <w:rPr>
                <w:sz w:val="20"/>
                <w:szCs w:val="20"/>
                <w:rtl w:val="0"/>
              </w:rPr>
              <w:t xml:space="preserve">None </w:t>
            </w:r>
          </w:p>
        </w:tc>
      </w:tr>
      <w:tr>
        <w:trPr>
          <w:cantSplit w:val="0"/>
          <w:trHeight w:val="2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sz w:val="20"/>
                <w:szCs w:val="20"/>
              </w:rPr>
            </w:pPr>
            <w:r w:rsidDel="00000000" w:rsidR="00000000" w:rsidRPr="00000000">
              <w:rPr>
                <w:sz w:val="20"/>
                <w:szCs w:val="20"/>
                <w:rtl w:val="0"/>
              </w:rPr>
              <w:t xml:space="preserve">Riverside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sz w:val="20"/>
                <w:szCs w:val="20"/>
              </w:rPr>
            </w:pPr>
            <w:r w:rsidDel="00000000" w:rsidR="00000000" w:rsidRPr="00000000">
              <w:rPr>
                <w:sz w:val="20"/>
                <w:szCs w:val="20"/>
                <w:rtl w:val="0"/>
              </w:rPr>
              <w:t xml:space="preserve">70.3%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jc w:val="center"/>
              <w:rPr>
                <w:sz w:val="20"/>
                <w:szCs w:val="20"/>
              </w:rPr>
            </w:pPr>
            <w:r w:rsidDel="00000000" w:rsidR="00000000" w:rsidRPr="00000000">
              <w:rPr>
                <w:sz w:val="20"/>
                <w:szCs w:val="20"/>
                <w:rtl w:val="0"/>
              </w:rPr>
              <w:t xml:space="preserve">3.76-4.18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360" w:before="360" w:line="240" w:lineRule="auto"/>
              <w:rPr>
                <w:sz w:val="20"/>
                <w:szCs w:val="20"/>
              </w:rPr>
            </w:pPr>
            <w:r w:rsidDel="00000000" w:rsidR="00000000" w:rsidRPr="00000000">
              <w:rPr>
                <w:sz w:val="20"/>
                <w:szCs w:val="20"/>
                <w:rtl w:val="0"/>
              </w:rPr>
              <w:t xml:space="preserve">Bioengineering, Computer Science with Business Applications, All Engineering Majors, Computer Science, Data Science, Biochemistry, Biology, Cell, Molecular, and Developmental Biology, Entomology, Microbiology, Neuroscience, Plant Biology, Data Science, Mathematics, Mathematics for Teachers of Secondary School, Statistics, Chemistry, Earth Sciences, Environmental Sciences, Geology, Geophysics, Physics</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jc w:val="center"/>
              <w:rPr>
                <w:sz w:val="20"/>
                <w:szCs w:val="20"/>
              </w:rPr>
            </w:pPr>
            <w:r w:rsidDel="00000000" w:rsidR="00000000" w:rsidRPr="00000000">
              <w:rPr>
                <w:sz w:val="20"/>
                <w:szCs w:val="20"/>
                <w:rtl w:val="0"/>
              </w:rPr>
              <w:t xml:space="preserve">San Diego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jc w:val="center"/>
              <w:rPr>
                <w:sz w:val="20"/>
                <w:szCs w:val="20"/>
              </w:rPr>
            </w:pPr>
            <w:r w:rsidDel="00000000" w:rsidR="00000000" w:rsidRPr="00000000">
              <w:rPr>
                <w:sz w:val="20"/>
                <w:szCs w:val="20"/>
                <w:rtl w:val="0"/>
              </w:rPr>
              <w:t xml:space="preserve">24.7%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sz w:val="20"/>
                <w:szCs w:val="20"/>
              </w:rPr>
            </w:pPr>
            <w:r w:rsidDel="00000000" w:rsidR="00000000" w:rsidRPr="00000000">
              <w:rPr>
                <w:sz w:val="20"/>
                <w:szCs w:val="20"/>
                <w:rtl w:val="0"/>
              </w:rPr>
              <w:t xml:space="preserve">4.11-4.29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jc w:val="center"/>
              <w:rPr>
                <w:sz w:val="20"/>
                <w:szCs w:val="20"/>
              </w:rPr>
            </w:pPr>
            <w:r w:rsidDel="00000000" w:rsidR="00000000" w:rsidRPr="00000000">
              <w:rPr>
                <w:sz w:val="20"/>
                <w:szCs w:val="20"/>
                <w:rtl w:val="0"/>
              </w:rPr>
              <w:t xml:space="preserve">Biological Sciences, Data Science, Public Health, All Engineering majors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center"/>
              <w:rPr>
                <w:sz w:val="20"/>
                <w:szCs w:val="20"/>
              </w:rPr>
            </w:pPr>
            <w:r w:rsidDel="00000000" w:rsidR="00000000" w:rsidRPr="00000000">
              <w:rPr>
                <w:sz w:val="20"/>
                <w:szCs w:val="20"/>
                <w:rtl w:val="0"/>
              </w:rPr>
              <w:t xml:space="preserve">Santa Barbara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sz w:val="20"/>
                <w:szCs w:val="20"/>
              </w:rPr>
            </w:pPr>
            <w:r w:rsidDel="00000000" w:rsidR="00000000" w:rsidRPr="00000000">
              <w:rPr>
                <w:sz w:val="20"/>
                <w:szCs w:val="20"/>
                <w:rtl w:val="0"/>
              </w:rPr>
              <w:t xml:space="preserve">27.9%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jc w:val="center"/>
              <w:rPr>
                <w:sz w:val="20"/>
                <w:szCs w:val="20"/>
              </w:rPr>
            </w:pPr>
            <w:r w:rsidDel="00000000" w:rsidR="00000000" w:rsidRPr="00000000">
              <w:rPr>
                <w:sz w:val="20"/>
                <w:szCs w:val="20"/>
                <w:rtl w:val="0"/>
              </w:rPr>
              <w:t xml:space="preserve">4.13-4.29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jc w:val="center"/>
              <w:rPr>
                <w:sz w:val="20"/>
                <w:szCs w:val="20"/>
              </w:rPr>
            </w:pPr>
            <w:r w:rsidDel="00000000" w:rsidR="00000000" w:rsidRPr="00000000">
              <w:rPr>
                <w:sz w:val="20"/>
                <w:szCs w:val="20"/>
                <w:rtl w:val="0"/>
              </w:rPr>
              <w:t xml:space="preserve">Chemistry, Computer Science, Communications, Economics, English, Environmental Studies, Global Studies, Chemical Engineering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sz w:val="20"/>
                <w:szCs w:val="20"/>
              </w:rPr>
            </w:pPr>
            <w:r w:rsidDel="00000000" w:rsidR="00000000" w:rsidRPr="00000000">
              <w:rPr>
                <w:sz w:val="20"/>
                <w:szCs w:val="20"/>
                <w:rtl w:val="0"/>
              </w:rPr>
              <w:t xml:space="preserve">Santa Cruz</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jc w:val="center"/>
              <w:rPr>
                <w:sz w:val="20"/>
                <w:szCs w:val="20"/>
              </w:rPr>
            </w:pPr>
            <w:r w:rsidDel="00000000" w:rsidR="00000000" w:rsidRPr="00000000">
              <w:rPr>
                <w:sz w:val="20"/>
                <w:szCs w:val="20"/>
                <w:rtl w:val="0"/>
              </w:rPr>
              <w:t xml:space="preserve">62.7%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jc w:val="center"/>
              <w:rPr>
                <w:sz w:val="20"/>
                <w:szCs w:val="20"/>
              </w:rPr>
            </w:pPr>
            <w:r w:rsidDel="00000000" w:rsidR="00000000" w:rsidRPr="00000000">
              <w:rPr>
                <w:sz w:val="20"/>
                <w:szCs w:val="20"/>
                <w:rtl w:val="0"/>
              </w:rPr>
              <w:t xml:space="preserve">3.86-4.22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jc w:val="center"/>
              <w:rPr>
                <w:sz w:val="20"/>
                <w:szCs w:val="20"/>
              </w:rPr>
            </w:pPr>
            <w:r w:rsidDel="00000000" w:rsidR="00000000" w:rsidRPr="00000000">
              <w:rPr>
                <w:sz w:val="20"/>
                <w:szCs w:val="20"/>
                <w:rtl w:val="0"/>
              </w:rPr>
              <w:t xml:space="preserve">Computer Science</w:t>
            </w:r>
          </w:p>
        </w:tc>
      </w:tr>
    </w:tbl>
    <w:p w:rsidR="00000000" w:rsidDel="00000000" w:rsidP="00000000" w:rsidRDefault="00000000" w:rsidRPr="00000000" w14:paraId="0000002D">
      <w:pPr>
        <w:pageBreakBefore w:val="0"/>
        <w:rPr>
          <w:sz w:val="20"/>
          <w:szCs w:val="20"/>
        </w:rPr>
      </w:pPr>
      <w:r w:rsidDel="00000000" w:rsidR="00000000" w:rsidRPr="00000000">
        <w:rPr>
          <w:rtl w:val="0"/>
        </w:rPr>
      </w:r>
    </w:p>
    <w:p w:rsidR="00000000" w:rsidDel="00000000" w:rsidP="00000000" w:rsidRDefault="00000000" w:rsidRPr="00000000" w14:paraId="0000002E">
      <w:pPr>
        <w:pageBreakBefore w:val="0"/>
        <w:rPr>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rFonts w:ascii="Calibri" w:cs="Calibri" w:eastAsia="Calibri" w:hAnsi="Calibri"/>
        <w:color w:val="4b4b4b"/>
        <w:sz w:val="20"/>
        <w:szCs w:val="20"/>
        <w:shd w:fill="fafafa" w:val="clear"/>
      </w:rPr>
    </w:pPr>
    <w:r w:rsidDel="00000000" w:rsidR="00000000" w:rsidRPr="00000000">
      <w:rPr>
        <w:rFonts w:ascii="Calibri" w:cs="Calibri" w:eastAsia="Calibri" w:hAnsi="Calibri"/>
        <w:color w:val="4b4b4b"/>
        <w:sz w:val="20"/>
        <w:szCs w:val="20"/>
        <w:shd w:fill="fafafa" w:val="clear"/>
        <w:rtl w:val="0"/>
      </w:rPr>
      <w:t xml:space="preserve">*This is a snapshot of the admitted freshman class for fall 2023.</w:t>
    </w:r>
  </w:p>
  <w:p w:rsidR="00000000" w:rsidDel="00000000" w:rsidP="00000000" w:rsidRDefault="00000000" w:rsidRPr="00000000" w14:paraId="00000030">
    <w:pPr>
      <w:jc w:val="right"/>
      <w:rPr>
        <w:rFonts w:ascii="Calibri" w:cs="Calibri" w:eastAsia="Calibri" w:hAnsi="Calibri"/>
        <w:color w:val="4b4b4b"/>
        <w:sz w:val="20"/>
        <w:szCs w:val="20"/>
        <w:shd w:fill="fafafa" w:val="clear"/>
      </w:rPr>
    </w:pPr>
    <w:r w:rsidDel="00000000" w:rsidR="00000000" w:rsidRPr="00000000">
      <w:rPr>
        <w:rFonts w:ascii="Calibri" w:cs="Calibri" w:eastAsia="Calibri" w:hAnsi="Calibri"/>
        <w:color w:val="4b4b4b"/>
        <w:sz w:val="20"/>
        <w:szCs w:val="20"/>
        <w:shd w:fill="fafafa" w:val="clear"/>
        <w:rtl w:val="0"/>
      </w:rPr>
      <w:t xml:space="preserve">*Please be cautious in drawing conclusions from this information. Use it as a general guide to selectivity and not as a predictor of your chance for admission to a UC school.</w:t>
    </w:r>
  </w:p>
  <w:p w:rsidR="00000000" w:rsidDel="00000000" w:rsidP="00000000" w:rsidRDefault="00000000" w:rsidRPr="00000000" w14:paraId="00000031">
    <w:pPr>
      <w:jc w:val="right"/>
      <w:rPr>
        <w:rFonts w:ascii="Calibri" w:cs="Calibri" w:eastAsia="Calibri" w:hAnsi="Calibri"/>
        <w:color w:val="4b4b4b"/>
        <w:sz w:val="20"/>
        <w:szCs w:val="20"/>
        <w:shd w:fill="fafafa" w:val="clear"/>
      </w:rPr>
    </w:pPr>
    <w:r w:rsidDel="00000000" w:rsidR="00000000" w:rsidRPr="00000000">
      <w:rPr>
        <w:rFonts w:ascii="Calibri" w:cs="Calibri" w:eastAsia="Calibri" w:hAnsi="Calibri"/>
        <w:color w:val="4b4b4b"/>
        <w:sz w:val="20"/>
        <w:szCs w:val="20"/>
        <w:shd w:fill="fafafa" w:val="clear"/>
        <w:rtl w:val="0"/>
      </w:rPr>
      <w:t xml:space="preserve">For information on majors by campus, go here: </w:t>
    </w:r>
    <w:hyperlink r:id="rId1">
      <w:r w:rsidDel="00000000" w:rsidR="00000000" w:rsidRPr="00000000">
        <w:rPr>
          <w:rFonts w:ascii="Calibri" w:cs="Calibri" w:eastAsia="Calibri" w:hAnsi="Calibri"/>
          <w:color w:val="1155cc"/>
          <w:sz w:val="20"/>
          <w:szCs w:val="20"/>
          <w:u w:val="single"/>
          <w:shd w:fill="fafafa" w:val="clear"/>
          <w:rtl w:val="0"/>
        </w:rPr>
        <w:t xml:space="preserve">https://admission.universityofcalifornia.edu/campuses-majors/</w:t>
      </w:r>
    </w:hyperlink>
    <w:r w:rsidDel="00000000" w:rsidR="00000000" w:rsidRPr="00000000">
      <w:rPr>
        <w:rFonts w:ascii="Calibri" w:cs="Calibri" w:eastAsia="Calibri" w:hAnsi="Calibri"/>
        <w:color w:val="4b4b4b"/>
        <w:sz w:val="20"/>
        <w:szCs w:val="20"/>
        <w:shd w:fill="fafafa" w:val="clea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b w:val="1"/>
        <w:sz w:val="20"/>
        <w:szCs w:val="20"/>
      </w:rPr>
    </w:pPr>
    <w:r w:rsidDel="00000000" w:rsidR="00000000" w:rsidRPr="00000000">
      <w:rPr>
        <w:b w:val="1"/>
        <w:sz w:val="20"/>
        <w:szCs w:val="20"/>
        <w:rtl w:val="0"/>
      </w:rPr>
      <w:t xml:space="preserve">UC Freshman Application Data 2023 CA Resident</w:t>
    </w:r>
  </w:p>
  <w:p w:rsidR="00000000" w:rsidDel="00000000" w:rsidP="00000000" w:rsidRDefault="00000000" w:rsidRPr="00000000" w14:paraId="00000033">
    <w:pPr>
      <w:rPr/>
    </w:pPr>
    <w:r w:rsidDel="00000000" w:rsidR="00000000" w:rsidRPr="00000000">
      <w:rPr>
        <w:i w:val="1"/>
        <w:sz w:val="20"/>
        <w:szCs w:val="20"/>
        <w:rtl w:val="0"/>
      </w:rPr>
      <w:t xml:space="preserve">This quick glance at Campus Application Data on freshman comes from </w:t>
    </w:r>
    <w:hyperlink r:id="rId1">
      <w:r w:rsidDel="00000000" w:rsidR="00000000" w:rsidRPr="00000000">
        <w:rPr>
          <w:i w:val="1"/>
          <w:color w:val="1155cc"/>
          <w:sz w:val="20"/>
          <w:szCs w:val="20"/>
          <w:u w:val="single"/>
          <w:rtl w:val="0"/>
        </w:rPr>
        <w:t xml:space="preserve">https://admission.universityofcalifornia.edu/campuses-majors/freshman-admit-data.html</w:t>
      </w:r>
    </w:hyperlink>
    <w:r w:rsidDel="00000000" w:rsidR="00000000" w:rsidRPr="00000000">
      <w:rPr>
        <w:i w:val="1"/>
        <w:sz w:val="20"/>
        <w:szCs w:val="20"/>
        <w:rtl w:val="0"/>
      </w:rPr>
      <w:t xml:space="preserve">. Numbers may change without notice.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dmission.universityofcalifornia.edu/campuses-major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admission.universityofcalifornia.edu/campuses-majors/freshman-admit-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